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DB" w:rsidRPr="00641FC5" w:rsidRDefault="005E4EDB" w:rsidP="005E4EDB">
      <w:pPr>
        <w:jc w:val="center"/>
        <w:rPr>
          <w:b/>
          <w:bCs/>
          <w:sz w:val="24"/>
          <w:szCs w:val="24"/>
        </w:rPr>
      </w:pPr>
      <w:r w:rsidRPr="00641FC5">
        <w:rPr>
          <w:b/>
          <w:bCs/>
          <w:sz w:val="24"/>
          <w:szCs w:val="24"/>
        </w:rPr>
        <w:t>FORMAT FOR SUBMARINE QA PRE-UNDERWAY CHECKLIST</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546"/>
        <w:gridCol w:w="1971"/>
        <w:gridCol w:w="351"/>
        <w:gridCol w:w="62"/>
        <w:gridCol w:w="907"/>
        <w:gridCol w:w="926"/>
        <w:gridCol w:w="355"/>
        <w:gridCol w:w="103"/>
        <w:gridCol w:w="906"/>
        <w:gridCol w:w="893"/>
        <w:gridCol w:w="14"/>
        <w:gridCol w:w="344"/>
        <w:gridCol w:w="1936"/>
      </w:tblGrid>
      <w:tr w:rsidR="005E4EDB" w:rsidRPr="00697E3C" w:rsidTr="00A227C7">
        <w:tc>
          <w:tcPr>
            <w:tcW w:w="5579" w:type="dxa"/>
            <w:gridSpan w:val="9"/>
            <w:shd w:val="clear" w:color="auto" w:fill="auto"/>
          </w:tcPr>
          <w:p w:rsidR="005E4EDB" w:rsidRPr="00697E3C" w:rsidRDefault="005E4EDB" w:rsidP="00A227C7">
            <w:pPr>
              <w:spacing w:line="276" w:lineRule="auto"/>
              <w:rPr>
                <w:b/>
                <w:bCs/>
                <w:u w:val="single"/>
              </w:rPr>
            </w:pPr>
            <w:r w:rsidRPr="00697E3C">
              <w:rPr>
                <w:b/>
                <w:bCs/>
                <w:color w:val="548DD4"/>
              </w:rPr>
              <w:t>SSGN</w:t>
            </w:r>
            <w:r>
              <w:rPr>
                <w:b/>
                <w:bCs/>
                <w:color w:val="548DD4"/>
              </w:rPr>
              <w:t xml:space="preserve">, </w:t>
            </w:r>
            <w:r w:rsidRPr="00697E3C">
              <w:rPr>
                <w:b/>
                <w:bCs/>
                <w:color w:val="548DD4"/>
              </w:rPr>
              <w:t>SSBN</w:t>
            </w:r>
            <w:r>
              <w:rPr>
                <w:b/>
                <w:bCs/>
                <w:color w:val="548DD4"/>
              </w:rPr>
              <w:t xml:space="preserve">, </w:t>
            </w:r>
            <w:r w:rsidRPr="00697E3C">
              <w:rPr>
                <w:b/>
                <w:bCs/>
                <w:color w:val="548DD4"/>
              </w:rPr>
              <w:t>SSN</w:t>
            </w:r>
            <w:r w:rsidRPr="00697E3C">
              <w:rPr>
                <w:b/>
                <w:bCs/>
              </w:rPr>
              <w:t xml:space="preserve"> _____________</w:t>
            </w:r>
            <w:r>
              <w:rPr>
                <w:b/>
                <w:bCs/>
              </w:rPr>
              <w:t>_______</w:t>
            </w:r>
            <w:r w:rsidRPr="00697E3C">
              <w:rPr>
                <w:b/>
                <w:bCs/>
              </w:rPr>
              <w:t>____</w:t>
            </w:r>
            <w:r>
              <w:rPr>
                <w:b/>
                <w:bCs/>
              </w:rPr>
              <w:t>_________</w:t>
            </w:r>
            <w:r w:rsidRPr="00697E3C">
              <w:rPr>
                <w:b/>
                <w:bCs/>
              </w:rPr>
              <w:t>___</w:t>
            </w:r>
          </w:p>
        </w:tc>
        <w:tc>
          <w:tcPr>
            <w:tcW w:w="4093" w:type="dxa"/>
            <w:gridSpan w:val="5"/>
            <w:shd w:val="clear" w:color="auto" w:fill="auto"/>
          </w:tcPr>
          <w:p w:rsidR="005E4EDB" w:rsidRPr="00697E3C" w:rsidRDefault="005E4EDB" w:rsidP="00A227C7">
            <w:pPr>
              <w:rPr>
                <w:b/>
                <w:bCs/>
                <w:u w:val="single"/>
              </w:rPr>
            </w:pPr>
            <w:r w:rsidRPr="00697E3C">
              <w:rPr>
                <w:b/>
                <w:bCs/>
              </w:rPr>
              <w:t>Date ___________________</w:t>
            </w:r>
            <w:r>
              <w:rPr>
                <w:b/>
                <w:bCs/>
              </w:rPr>
              <w:t>______</w:t>
            </w:r>
            <w:r w:rsidRPr="00697E3C">
              <w:rPr>
                <w:b/>
                <w:bCs/>
              </w:rPr>
              <w:t>_</w:t>
            </w:r>
          </w:p>
        </w:tc>
      </w:tr>
      <w:tr w:rsidR="005E4EDB" w:rsidRPr="00697E3C" w:rsidTr="00A227C7">
        <w:tc>
          <w:tcPr>
            <w:tcW w:w="9672" w:type="dxa"/>
            <w:gridSpan w:val="14"/>
            <w:shd w:val="clear" w:color="auto" w:fill="auto"/>
          </w:tcPr>
          <w:p w:rsidR="005E4EDB" w:rsidRPr="00697E3C" w:rsidRDefault="005E4EDB" w:rsidP="00A227C7">
            <w:pPr>
              <w:rPr>
                <w:b/>
              </w:rPr>
            </w:pPr>
            <w:r w:rsidRPr="00697E3C">
              <w:rPr>
                <w:b/>
                <w:u w:val="single"/>
              </w:rPr>
              <w:t>URO Review</w:t>
            </w:r>
            <w:r w:rsidRPr="00697E3C">
              <w:rPr>
                <w:b/>
              </w:rPr>
              <w:t xml:space="preserve">  (*with ISIC)</w:t>
            </w:r>
            <w:r>
              <w:rPr>
                <w:b/>
              </w:rPr>
              <w:t xml:space="preserve"> </w:t>
            </w:r>
            <w:r w:rsidRPr="00697E3C">
              <w:rPr>
                <w:b/>
              </w:rPr>
              <w:t>(48-24 Hours Prior to Underway)</w:t>
            </w:r>
          </w:p>
          <w:p w:rsidR="005E4EDB" w:rsidRPr="00697E3C" w:rsidRDefault="005E4EDB" w:rsidP="00A227C7">
            <w:r w:rsidRPr="00697E3C">
              <w:t>(init)</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pPr>
              <w:rPr>
                <w:b/>
                <w:u w:val="single"/>
              </w:rPr>
            </w:pPr>
            <w:r w:rsidRPr="00697E3C">
              <w:t>All URO Data for UROs done for periodicity received and reviewed.</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pPr>
              <w:rPr>
                <w:b/>
                <w:u w:val="single"/>
              </w:rPr>
            </w:pPr>
            <w:r w:rsidRPr="00697E3C">
              <w:t>No URO will become due prior to next scheduled INPORT period with the exception of a scheduled URO-22 rise blow.</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pPr>
              <w:rPr>
                <w:b/>
                <w:u w:val="single"/>
              </w:rPr>
            </w:pPr>
            <w:r w:rsidRPr="00697E3C">
              <w:t>Plan approved to complete UROs due next INPORT</w:t>
            </w:r>
            <w:r>
              <w:t xml:space="preserve">, </w:t>
            </w:r>
            <w:r w:rsidRPr="00697E3C">
              <w:t>availability</w:t>
            </w:r>
            <w:r>
              <w:t xml:space="preserve"> or</w:t>
            </w:r>
            <w:r w:rsidRPr="00697E3C" w:rsidDel="005B07E9">
              <w:t xml:space="preserve"> </w:t>
            </w:r>
            <w:r w:rsidRPr="00697E3C">
              <w:t>underway (e.g. URO 022 rise blow).</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pPr>
              <w:rPr>
                <w:b/>
                <w:u w:val="single"/>
              </w:rPr>
            </w:pPr>
            <w:r w:rsidRPr="00697E3C">
              <w:t>* URO Schedules and Inventories are up to date.</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Retests to certify URO parameter due to maintenance reviewed by QAO</w:t>
            </w:r>
            <w:r>
              <w:t xml:space="preserve"> or</w:t>
            </w:r>
            <w:r w:rsidRPr="00697E3C" w:rsidDel="005B07E9">
              <w:t xml:space="preserve"> </w:t>
            </w:r>
            <w:r w:rsidRPr="00697E3C">
              <w:t>Department Head.</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 Latest URO MRC Change on hand and verified current. Latest Change _______.</w:t>
            </w:r>
          </w:p>
        </w:tc>
        <w:bookmarkStart w:id="0" w:name="_GoBack"/>
        <w:bookmarkEnd w:id="0"/>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 Review SUBMEPP URO</w:t>
            </w:r>
            <w:r>
              <w:t xml:space="preserve"> and </w:t>
            </w:r>
            <w:r w:rsidRPr="00697E3C">
              <w:t>HIPs web</w:t>
            </w:r>
            <w:r>
              <w:t xml:space="preserve"> </w:t>
            </w:r>
            <w:r w:rsidRPr="00697E3C">
              <w:t>site and  the Schedules and I</w:t>
            </w:r>
            <w:r>
              <w:t>nventories to verify no URO or</w:t>
            </w:r>
            <w:r w:rsidDel="005B07E9">
              <w:t xml:space="preserve"> </w:t>
            </w:r>
            <w:r>
              <w:t>HIP</w:t>
            </w:r>
            <w:r w:rsidRPr="00697E3C">
              <w:t>s (as applicable) are due or will become due prior to return to port (This review is to be completed by the URO</w:t>
            </w:r>
            <w:r>
              <w:t>-</w:t>
            </w:r>
            <w:r w:rsidRPr="00697E3C">
              <w:t>PMR Coordinator and ISIC QAO).</w:t>
            </w:r>
          </w:p>
        </w:tc>
      </w:tr>
      <w:tr w:rsidR="005E4EDB" w:rsidRPr="00697E3C" w:rsidTr="00A227C7">
        <w:tc>
          <w:tcPr>
            <w:tcW w:w="9672" w:type="dxa"/>
            <w:gridSpan w:val="14"/>
            <w:shd w:val="clear" w:color="auto" w:fill="auto"/>
          </w:tcPr>
          <w:p w:rsidR="005E4EDB" w:rsidRPr="00697E3C" w:rsidRDefault="005E4EDB" w:rsidP="00A227C7">
            <w:pPr>
              <w:rPr>
                <w:b/>
                <w:u w:val="single"/>
              </w:rPr>
            </w:pPr>
            <w:r w:rsidRPr="00697E3C">
              <w:rPr>
                <w:b/>
                <w:u w:val="single"/>
              </w:rPr>
              <w:t>Other Reviews</w:t>
            </w:r>
            <w:r w:rsidRPr="00271664">
              <w:rPr>
                <w:b/>
              </w:rPr>
              <w:t xml:space="preserve">  </w:t>
            </w:r>
            <w:r w:rsidRPr="00697E3C">
              <w:rPr>
                <w:b/>
              </w:rPr>
              <w:t>(48-24 Hours Prior to Underway)</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rPr>
                <w:b/>
                <w:bCs/>
              </w:rPr>
              <w:t>REC</w:t>
            </w:r>
            <w:r w:rsidRPr="00697E3C">
              <w:t xml:space="preserve"> Exception Binder</w:t>
            </w:r>
            <w:r w:rsidRPr="00D74B0E">
              <w:t>, including QA-11A,</w:t>
            </w:r>
            <w:r w:rsidRPr="00697E3C">
              <w:t xml:space="preserve"> updated for work performed this availability.</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No underway limiting OSARs exist or any underway limiting OSAR has been adjudicated via an approved DFS.</w:t>
            </w:r>
            <w:r w:rsidRPr="004C5340">
              <w:t xml:space="preserve">  </w:t>
            </w:r>
            <w:r w:rsidRPr="00D74B0E">
              <w:t>In addition to OSARs that may impose operational limitations for ships at sea, all deficiencies documented in an OSAR that require a DFS per Chapter 8 of this Volume are considered underway limiting.</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No outstanding Audit</w:t>
            </w:r>
            <w:r>
              <w:t xml:space="preserve">, </w:t>
            </w:r>
            <w:r w:rsidRPr="00697E3C">
              <w:t>Assessment</w:t>
            </w:r>
            <w:r>
              <w:t xml:space="preserve"> or</w:t>
            </w:r>
            <w:r w:rsidRPr="00697E3C" w:rsidDel="005B07E9">
              <w:t xml:space="preserve"> </w:t>
            </w:r>
            <w:r w:rsidRPr="00697E3C">
              <w:t>Survey ICARS (CAT 1) exist</w:t>
            </w:r>
            <w:r w:rsidRPr="006927DB">
              <w:t xml:space="preserve"> </w:t>
            </w:r>
            <w:r>
              <w:t xml:space="preserve">______.  </w:t>
            </w:r>
            <w:r w:rsidRPr="00697E3C">
              <w:t xml:space="preserve">No overdue AS&amp;E responses due. </w:t>
            </w:r>
            <w:r>
              <w:t xml:space="preserve"> </w:t>
            </w:r>
            <w:r w:rsidRPr="00697E3C">
              <w:t>Next report of corrective actions due: ________________.</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DEI date_______, next DEI due date (18 months) __</w:t>
            </w:r>
            <w:r>
              <w:t xml:space="preserve">____ (DFS__________________), </w:t>
            </w:r>
            <w:r w:rsidRPr="00697E3C">
              <w:t>Major Deficiencies corrected or not due (30 days and No RBOs).</w:t>
            </w:r>
          </w:p>
        </w:tc>
      </w:tr>
      <w:tr w:rsidR="005E4EDB" w:rsidRPr="00697E3C" w:rsidTr="00A227C7">
        <w:tc>
          <w:tcPr>
            <w:tcW w:w="904" w:type="dxa"/>
            <w:gridSpan w:val="2"/>
            <w:shd w:val="clear" w:color="auto" w:fill="auto"/>
          </w:tcPr>
          <w:p w:rsidR="005E4EDB" w:rsidRPr="00822DAC" w:rsidRDefault="005E4EDB" w:rsidP="00A227C7">
            <w:pPr>
              <w:rPr>
                <w:b/>
                <w:u w:val="single"/>
              </w:rPr>
            </w:pPr>
          </w:p>
        </w:tc>
        <w:tc>
          <w:tcPr>
            <w:tcW w:w="8768" w:type="dxa"/>
            <w:gridSpan w:val="12"/>
            <w:shd w:val="clear" w:color="auto" w:fill="auto"/>
          </w:tcPr>
          <w:p w:rsidR="005E4EDB" w:rsidRPr="001C0087" w:rsidRDefault="005E4EDB" w:rsidP="00A227C7">
            <w:r w:rsidRPr="001C0087">
              <w:rPr>
                <w:rStyle w:val="Strong"/>
                <w:shd w:val="clear" w:color="auto" w:fill="FFFFFF"/>
              </w:rPr>
              <w:t>The ship’s QAO shall complete a QA Pre-Underway Checklist with the ISIC QAO.</w:t>
            </w:r>
          </w:p>
        </w:tc>
      </w:tr>
      <w:tr w:rsidR="005E4EDB" w:rsidRPr="00697E3C" w:rsidTr="00A227C7">
        <w:tc>
          <w:tcPr>
            <w:tcW w:w="904" w:type="dxa"/>
            <w:gridSpan w:val="2"/>
            <w:shd w:val="clear" w:color="auto" w:fill="auto"/>
          </w:tcPr>
          <w:p w:rsidR="005E4EDB" w:rsidRPr="00822DAC" w:rsidRDefault="005E4EDB" w:rsidP="00A227C7">
            <w:pPr>
              <w:rPr>
                <w:b/>
                <w:u w:val="single"/>
              </w:rPr>
            </w:pPr>
          </w:p>
        </w:tc>
        <w:tc>
          <w:tcPr>
            <w:tcW w:w="8768" w:type="dxa"/>
            <w:gridSpan w:val="12"/>
            <w:shd w:val="clear" w:color="auto" w:fill="auto"/>
          </w:tcPr>
          <w:p w:rsidR="005E4EDB" w:rsidRPr="001C0087" w:rsidRDefault="005E4EDB" w:rsidP="00A227C7">
            <w:pPr>
              <w:pStyle w:val="NormalWeb"/>
              <w:shd w:val="clear" w:color="auto" w:fill="FFFFFF"/>
              <w:spacing w:before="120" w:beforeAutospacing="0" w:after="120" w:afterAutospacing="0"/>
              <w:rPr>
                <w:rStyle w:val="Strong"/>
                <w:b w:val="0"/>
                <w:bCs w:val="0"/>
                <w:shd w:val="clear" w:color="auto" w:fill="FFFFFF"/>
              </w:rPr>
            </w:pPr>
            <w:r w:rsidRPr="001C0087">
              <w:rPr>
                <w:shd w:val="clear" w:color="auto" w:fill="FFFFFF"/>
              </w:rPr>
              <w:t>Designated SOC Ships - If Manned Operations are scheduled, verify no SOC PMRs will become due prior to Manned Operations.  Perform the PMR or submit a major DFS if the PMR will come due during scheduled manned operations.</w:t>
            </w:r>
          </w:p>
        </w:tc>
      </w:tr>
      <w:tr w:rsidR="005E4EDB" w:rsidRPr="00697E3C" w:rsidTr="00A227C7">
        <w:tc>
          <w:tcPr>
            <w:tcW w:w="904" w:type="dxa"/>
            <w:gridSpan w:val="2"/>
            <w:shd w:val="clear" w:color="auto" w:fill="auto"/>
          </w:tcPr>
          <w:p w:rsidR="005E4EDB" w:rsidRPr="00822DAC" w:rsidRDefault="005E4EDB" w:rsidP="00A227C7">
            <w:pPr>
              <w:rPr>
                <w:b/>
                <w:u w:val="single"/>
              </w:rPr>
            </w:pPr>
          </w:p>
        </w:tc>
        <w:tc>
          <w:tcPr>
            <w:tcW w:w="8768" w:type="dxa"/>
            <w:gridSpan w:val="12"/>
            <w:shd w:val="clear" w:color="auto" w:fill="auto"/>
          </w:tcPr>
          <w:p w:rsidR="005E4EDB" w:rsidRDefault="005E4EDB" w:rsidP="00A227C7">
            <w:pPr>
              <w:pStyle w:val="NormalWeb"/>
              <w:shd w:val="clear" w:color="auto" w:fill="FFFFFF"/>
              <w:spacing w:before="120" w:beforeAutospacing="0" w:after="120" w:afterAutospacing="0"/>
              <w:rPr>
                <w:color w:val="000000" w:themeColor="text1"/>
              </w:rPr>
            </w:pPr>
            <w:r w:rsidRPr="009C3F7C">
              <w:rPr>
                <w:color w:val="000000" w:themeColor="text1"/>
              </w:rPr>
              <w:t>Verify there is no rescue seating surface (Escape Trunks, Logistics Escape Trunk and Lockout Trunks) Periodic Maintenance Requirements (PMRs) that will become due prior to underway. Perform the PMR or submit a major DFS if the PMR will come due during underway.</w:t>
            </w:r>
          </w:p>
          <w:p w:rsidR="005E4EDB" w:rsidRPr="001C0087" w:rsidRDefault="005E4EDB" w:rsidP="00A227C7">
            <w:pPr>
              <w:pStyle w:val="NormalWeb"/>
              <w:shd w:val="clear" w:color="auto" w:fill="FFFFFF"/>
              <w:spacing w:before="120" w:beforeAutospacing="0" w:after="120" w:afterAutospacing="0"/>
              <w:rPr>
                <w:shd w:val="clear" w:color="auto" w:fill="FFFFFF"/>
              </w:rPr>
            </w:pPr>
          </w:p>
        </w:tc>
      </w:tr>
      <w:tr w:rsidR="005E4EDB" w:rsidRPr="00697E3C" w:rsidTr="00A227C7">
        <w:tc>
          <w:tcPr>
            <w:tcW w:w="904" w:type="dxa"/>
            <w:gridSpan w:val="2"/>
            <w:shd w:val="clear" w:color="auto" w:fill="auto"/>
          </w:tcPr>
          <w:p w:rsidR="005E4EDB" w:rsidRPr="00822DAC" w:rsidRDefault="005E4EDB" w:rsidP="00A227C7">
            <w:pPr>
              <w:rPr>
                <w:b/>
                <w:u w:val="single"/>
              </w:rPr>
            </w:pPr>
          </w:p>
        </w:tc>
        <w:tc>
          <w:tcPr>
            <w:tcW w:w="8768" w:type="dxa"/>
            <w:gridSpan w:val="12"/>
            <w:shd w:val="clear" w:color="auto" w:fill="auto"/>
          </w:tcPr>
          <w:p w:rsidR="005E4EDB" w:rsidRPr="009C3F7C" w:rsidRDefault="005E4EDB" w:rsidP="00A227C7">
            <w:pPr>
              <w:pStyle w:val="NormalWeb"/>
              <w:shd w:val="clear" w:color="auto" w:fill="FFFFFF"/>
              <w:spacing w:before="120" w:beforeAutospacing="0" w:after="120" w:afterAutospacing="0"/>
              <w:rPr>
                <w:color w:val="000000" w:themeColor="text1"/>
              </w:rPr>
            </w:pPr>
            <w:r>
              <w:rPr>
                <w:color w:val="000000" w:themeColor="text1"/>
              </w:rPr>
              <w:t>Ship’s QAO shall review MIP/MRC data sheets for each Rescue Seating Surface (RSS).  Document any discrepancies on a Minor DFS (one per RSS), approved per part I, chapter 8 of this volume.</w:t>
            </w:r>
          </w:p>
        </w:tc>
      </w:tr>
      <w:tr w:rsidR="005E4EDB" w:rsidRPr="00697E3C" w:rsidTr="00A227C7">
        <w:trPr>
          <w:trHeight w:val="647"/>
        </w:trPr>
        <w:tc>
          <w:tcPr>
            <w:tcW w:w="904" w:type="dxa"/>
            <w:gridSpan w:val="2"/>
            <w:shd w:val="clear" w:color="auto" w:fill="auto"/>
          </w:tcPr>
          <w:p w:rsidR="005E4EDB" w:rsidRPr="00822DAC" w:rsidRDefault="005E4EDB" w:rsidP="00A227C7">
            <w:pPr>
              <w:rPr>
                <w:b/>
                <w:u w:val="single"/>
              </w:rPr>
            </w:pPr>
          </w:p>
        </w:tc>
        <w:tc>
          <w:tcPr>
            <w:tcW w:w="8768" w:type="dxa"/>
            <w:gridSpan w:val="12"/>
            <w:shd w:val="clear" w:color="auto" w:fill="auto"/>
          </w:tcPr>
          <w:p w:rsidR="005E4EDB" w:rsidRPr="001C0087" w:rsidRDefault="005E4EDB" w:rsidP="00A227C7">
            <w:pPr>
              <w:rPr>
                <w:rStyle w:val="Strong"/>
                <w:b w:val="0"/>
                <w:shd w:val="clear" w:color="auto" w:fill="FFFFFF"/>
              </w:rPr>
            </w:pPr>
            <w:r>
              <w:rPr>
                <w:color w:val="000000" w:themeColor="text1"/>
              </w:rPr>
              <w:t>Ship’s QAO shall review CSMP deficiencies for submarine escape components (e.g., IPHO and intensifier system; SCV, HIS, and AVV valves; sea sensing line; escape trunk and cavity drain and strainer or orifice; or upper hatch hydraulic hand pump (688CL only)).  Document any discrepancies on a Minor DFS (one per compartment), approved per part I, chapter 8 of this volume.</w:t>
            </w:r>
          </w:p>
        </w:tc>
      </w:tr>
      <w:tr w:rsidR="005E4EDB" w:rsidRPr="00697E3C" w:rsidTr="00A227C7">
        <w:trPr>
          <w:trHeight w:val="647"/>
        </w:trPr>
        <w:tc>
          <w:tcPr>
            <w:tcW w:w="904" w:type="dxa"/>
            <w:gridSpan w:val="2"/>
            <w:shd w:val="clear" w:color="auto" w:fill="auto"/>
          </w:tcPr>
          <w:p w:rsidR="005E4EDB" w:rsidRPr="00822DAC" w:rsidRDefault="005E4EDB" w:rsidP="00A227C7">
            <w:pPr>
              <w:rPr>
                <w:b/>
                <w:u w:val="single"/>
              </w:rPr>
            </w:pPr>
          </w:p>
        </w:tc>
        <w:tc>
          <w:tcPr>
            <w:tcW w:w="8768" w:type="dxa"/>
            <w:gridSpan w:val="12"/>
            <w:shd w:val="clear" w:color="auto" w:fill="auto"/>
          </w:tcPr>
          <w:p w:rsidR="005E4EDB" w:rsidRPr="001C0087" w:rsidRDefault="005E4EDB" w:rsidP="00A227C7">
            <w:pPr>
              <w:rPr>
                <w:rStyle w:val="Strong"/>
                <w:b w:val="0"/>
                <w:shd w:val="clear" w:color="auto" w:fill="FFFFFF"/>
              </w:rPr>
            </w:pPr>
            <w:r w:rsidRPr="001C0087">
              <w:rPr>
                <w:rStyle w:val="Strong"/>
                <w:shd w:val="clear" w:color="auto" w:fill="FFFFFF"/>
              </w:rPr>
              <w:t>The ship’s QAO will be relieved on ____________________  (DD MMM YYYY)</w:t>
            </w:r>
          </w:p>
        </w:tc>
      </w:tr>
      <w:tr w:rsidR="005E4EDB" w:rsidRPr="00697E3C" w:rsidTr="00A227C7">
        <w:tc>
          <w:tcPr>
            <w:tcW w:w="9672" w:type="dxa"/>
            <w:gridSpan w:val="14"/>
            <w:shd w:val="clear" w:color="auto" w:fill="auto"/>
          </w:tcPr>
          <w:p w:rsidR="005E4EDB" w:rsidRPr="00697E3C" w:rsidRDefault="005E4EDB" w:rsidP="00A227C7">
            <w:r w:rsidRPr="00697E3C">
              <w:rPr>
                <w:b/>
                <w:u w:val="single"/>
              </w:rPr>
              <w:t>QA-11 Log Review</w:t>
            </w:r>
            <w:r w:rsidRPr="00271664">
              <w:t xml:space="preserve"> </w:t>
            </w:r>
            <w:r w:rsidRPr="00697E3C">
              <w:t>(Within 24 Hours of Underway)</w:t>
            </w:r>
          </w:p>
        </w:tc>
      </w:tr>
      <w:tr w:rsidR="005E4EDB" w:rsidRPr="00697E3C" w:rsidTr="00A227C7">
        <w:tc>
          <w:tcPr>
            <w:tcW w:w="904" w:type="dxa"/>
            <w:gridSpan w:val="2"/>
            <w:shd w:val="clear" w:color="auto" w:fill="auto"/>
          </w:tcPr>
          <w:p w:rsidR="005E4EDB" w:rsidRPr="00697E3C" w:rsidRDefault="005E4EDB" w:rsidP="00A227C7"/>
        </w:tc>
        <w:tc>
          <w:tcPr>
            <w:tcW w:w="2384" w:type="dxa"/>
            <w:gridSpan w:val="3"/>
            <w:shd w:val="clear" w:color="auto" w:fill="auto"/>
          </w:tcPr>
          <w:p w:rsidR="005E4EDB" w:rsidRPr="00697E3C" w:rsidRDefault="005E4EDB" w:rsidP="00A227C7">
            <w:r w:rsidRPr="00697E3C">
              <w:t>FMA QA-11 Log Closed</w:t>
            </w:r>
          </w:p>
        </w:tc>
        <w:tc>
          <w:tcPr>
            <w:tcW w:w="907" w:type="dxa"/>
            <w:shd w:val="clear" w:color="auto" w:fill="auto"/>
          </w:tcPr>
          <w:p w:rsidR="005E4EDB" w:rsidRPr="00697E3C" w:rsidRDefault="005E4EDB" w:rsidP="00A227C7"/>
        </w:tc>
        <w:tc>
          <w:tcPr>
            <w:tcW w:w="2290" w:type="dxa"/>
            <w:gridSpan w:val="4"/>
            <w:shd w:val="clear" w:color="auto" w:fill="auto"/>
          </w:tcPr>
          <w:p w:rsidR="005E4EDB" w:rsidRPr="00697E3C" w:rsidRDefault="005E4EDB" w:rsidP="00A227C7">
            <w:r w:rsidRPr="00697E3C">
              <w:t>Ship</w:t>
            </w:r>
            <w:r>
              <w:t>’</w:t>
            </w:r>
            <w:r w:rsidRPr="00697E3C">
              <w:t>s QA-11 Log Closed Out</w:t>
            </w:r>
          </w:p>
        </w:tc>
        <w:tc>
          <w:tcPr>
            <w:tcW w:w="907" w:type="dxa"/>
            <w:gridSpan w:val="2"/>
            <w:shd w:val="clear" w:color="auto" w:fill="auto"/>
          </w:tcPr>
          <w:p w:rsidR="005E4EDB" w:rsidRPr="00697E3C" w:rsidRDefault="005E4EDB" w:rsidP="00A227C7"/>
        </w:tc>
        <w:tc>
          <w:tcPr>
            <w:tcW w:w="2280" w:type="dxa"/>
            <w:gridSpan w:val="2"/>
            <w:shd w:val="clear" w:color="auto" w:fill="auto"/>
          </w:tcPr>
          <w:p w:rsidR="005E4EDB" w:rsidRPr="00697E3C" w:rsidRDefault="005E4EDB" w:rsidP="00A227C7">
            <w:r w:rsidRPr="00697E3C">
              <w:t>DDS QA-11 Log Received</w:t>
            </w:r>
            <w:r w:rsidRPr="00697E3C">
              <w:rPr>
                <w:b/>
                <w:bCs/>
              </w:rPr>
              <w:t xml:space="preserve"> </w:t>
            </w:r>
            <w:r w:rsidRPr="00697E3C">
              <w:t>and Closed Out</w:t>
            </w:r>
          </w:p>
        </w:tc>
      </w:tr>
      <w:tr w:rsidR="005E4EDB" w:rsidRPr="00697E3C" w:rsidTr="00A227C7">
        <w:tc>
          <w:tcPr>
            <w:tcW w:w="9672" w:type="dxa"/>
            <w:gridSpan w:val="14"/>
            <w:shd w:val="clear" w:color="auto" w:fill="auto"/>
          </w:tcPr>
          <w:p w:rsidR="005E4EDB" w:rsidRPr="00697E3C" w:rsidRDefault="005E4EDB" w:rsidP="00A227C7">
            <w:r w:rsidRPr="00697E3C">
              <w:rPr>
                <w:b/>
                <w:u w:val="single"/>
              </w:rPr>
              <w:t>Custody Transfers</w:t>
            </w:r>
            <w:r w:rsidRPr="00271664">
              <w:t xml:space="preserve"> </w:t>
            </w:r>
            <w:r w:rsidRPr="00697E3C">
              <w:t>(Within 24 Hours of Underway)</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DDS Custody Transfer Msg</w:t>
            </w:r>
            <w:r>
              <w:t xml:space="preserve"> or</w:t>
            </w:r>
            <w:r w:rsidRPr="00697E3C" w:rsidDel="005B07E9">
              <w:t xml:space="preserve"> </w:t>
            </w:r>
            <w:r w:rsidRPr="00697E3C">
              <w:t>letter Received</w:t>
            </w:r>
            <w:r>
              <w:t xml:space="preserve"> or</w:t>
            </w:r>
            <w:r w:rsidRPr="00697E3C" w:rsidDel="005B07E9">
              <w:t xml:space="preserve"> </w:t>
            </w:r>
            <w:r w:rsidRPr="00697E3C">
              <w:t>Issued.</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Copy of DDS Continuity Message</w:t>
            </w:r>
            <w:r>
              <w:t xml:space="preserve"> or</w:t>
            </w:r>
            <w:r w:rsidRPr="00697E3C" w:rsidDel="005B07E9">
              <w:t xml:space="preserve"> </w:t>
            </w:r>
            <w:r w:rsidRPr="00697E3C">
              <w:t>Letter received following installation</w:t>
            </w:r>
            <w:r>
              <w:t xml:space="preserve"> or</w:t>
            </w:r>
            <w:r w:rsidRPr="00697E3C" w:rsidDel="005B07E9">
              <w:t xml:space="preserve"> </w:t>
            </w:r>
            <w:r w:rsidRPr="00697E3C">
              <w:t>removal received and reviewed.</w:t>
            </w:r>
          </w:p>
        </w:tc>
      </w:tr>
      <w:tr w:rsidR="005E4EDB" w:rsidRPr="00697E3C" w:rsidTr="00A227C7">
        <w:tc>
          <w:tcPr>
            <w:tcW w:w="9672" w:type="dxa"/>
            <w:gridSpan w:val="14"/>
            <w:shd w:val="clear" w:color="auto" w:fill="auto"/>
          </w:tcPr>
          <w:p w:rsidR="005E4EDB" w:rsidRPr="00697E3C" w:rsidRDefault="005E4EDB" w:rsidP="00A227C7">
            <w:pPr>
              <w:rPr>
                <w:u w:val="single"/>
              </w:rPr>
            </w:pPr>
            <w:r w:rsidRPr="00697E3C">
              <w:rPr>
                <w:b/>
                <w:u w:val="single"/>
              </w:rPr>
              <w:t xml:space="preserve">DFS Review </w:t>
            </w:r>
            <w:r w:rsidRPr="00697E3C">
              <w:rPr>
                <w:u w:val="single"/>
              </w:rPr>
              <w:t>(includes waiver and deviations)</w:t>
            </w:r>
            <w:r w:rsidRPr="00697E3C">
              <w:t xml:space="preserve"> (Within 24 Hours of Underway)</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 xml:space="preserve">No active DFS will expire prior </w:t>
            </w:r>
            <w:r w:rsidRPr="00D74B0E">
              <w:t>during the ship</w:t>
            </w:r>
            <w:r>
              <w:t>’</w:t>
            </w:r>
            <w:r w:rsidRPr="00D74B0E">
              <w:t>s scheduled underway period without an approved plan to clear or extend the DFS to support ship</w:t>
            </w:r>
            <w:r>
              <w:t>’</w:t>
            </w:r>
            <w:r w:rsidRPr="00D74B0E">
              <w:t>s schedule</w:t>
            </w:r>
            <w:r w:rsidRPr="00697E3C">
              <w:t>.</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All SUBSAFE</w:t>
            </w:r>
            <w:r>
              <w:t xml:space="preserve">, </w:t>
            </w:r>
            <w:r w:rsidRPr="00697E3C">
              <w:t>SOC</w:t>
            </w:r>
            <w:r>
              <w:t xml:space="preserve">, or </w:t>
            </w:r>
            <w:r w:rsidRPr="00697E3C">
              <w:t>FBW-SCS AT-SEA TESTING departures verified against Continuity Letter.</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Ship has completed DFS to JCN audit.</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697E3C" w:rsidRDefault="005E4EDB" w:rsidP="00A227C7">
            <w:r w:rsidRPr="00697E3C">
              <w:t>All identified non-conformances adjudicated (no outstanding DFS awaiting approval).</w:t>
            </w:r>
          </w:p>
        </w:tc>
      </w:tr>
      <w:tr w:rsidR="005E4EDB" w:rsidRPr="00697E3C" w:rsidTr="00A227C7">
        <w:tc>
          <w:tcPr>
            <w:tcW w:w="904" w:type="dxa"/>
            <w:gridSpan w:val="2"/>
            <w:shd w:val="clear" w:color="auto" w:fill="auto"/>
          </w:tcPr>
          <w:p w:rsidR="005E4EDB" w:rsidRPr="00697E3C" w:rsidRDefault="005E4EDB" w:rsidP="00A227C7">
            <w:pPr>
              <w:rPr>
                <w:b/>
                <w:u w:val="single"/>
              </w:rPr>
            </w:pPr>
          </w:p>
        </w:tc>
        <w:tc>
          <w:tcPr>
            <w:tcW w:w="8768" w:type="dxa"/>
            <w:gridSpan w:val="12"/>
            <w:shd w:val="clear" w:color="auto" w:fill="auto"/>
          </w:tcPr>
          <w:p w:rsidR="005E4EDB" w:rsidRPr="00D74B0E" w:rsidRDefault="005E4EDB" w:rsidP="00A227C7">
            <w:r w:rsidRPr="00D74B0E">
              <w:t>Verify all CSMP entries are properly documented per reference</w:t>
            </w:r>
            <w:r>
              <w:t>s</w:t>
            </w:r>
            <w:r w:rsidRPr="00D74B0E">
              <w:t xml:space="preserve"> </w:t>
            </w:r>
            <w:r>
              <w:t xml:space="preserve">(q) </w:t>
            </w:r>
            <w:r w:rsidRPr="00D74B0E">
              <w:t xml:space="preserve">and all SUBSAFE, Fly-by-Wire and DSS-SOC deficiencies are either cleared or </w:t>
            </w:r>
            <w:r w:rsidRPr="00EE7398">
              <w:t>documented on an approved DFS.  The Ship’s QAO will use the current maintenance management tool for this review and report</w:t>
            </w:r>
            <w:r>
              <w:t xml:space="preserve"> completion to ISIC QAO prior to ship’s underway.  Submarine Maintenance Coordinator will use the shore based CSMP for this review and report completion to ISIC Material Officer and ISIC QAO prior to ship’s underway</w:t>
            </w:r>
            <w:r w:rsidRPr="00D74B0E">
              <w:t>.</w:t>
            </w:r>
          </w:p>
        </w:tc>
      </w:tr>
      <w:tr w:rsidR="005E4EDB" w:rsidRPr="00697E3C" w:rsidTr="00A227C7">
        <w:tc>
          <w:tcPr>
            <w:tcW w:w="9672" w:type="dxa"/>
            <w:gridSpan w:val="14"/>
            <w:shd w:val="clear" w:color="auto" w:fill="auto"/>
          </w:tcPr>
          <w:p w:rsidR="005E4EDB" w:rsidRPr="00697E3C" w:rsidRDefault="005E4EDB" w:rsidP="00A227C7">
            <w:r>
              <w:rPr>
                <w:b/>
                <w:u w:val="single"/>
              </w:rPr>
              <w:t xml:space="preserve">Continuity Letters, </w:t>
            </w:r>
            <w:r w:rsidRPr="005B07E9">
              <w:rPr>
                <w:b/>
                <w:u w:val="single"/>
              </w:rPr>
              <w:t>Certification</w:t>
            </w:r>
            <w:r w:rsidRPr="001B5957">
              <w:rPr>
                <w:b/>
                <w:u w:val="single"/>
              </w:rPr>
              <w:t xml:space="preserve"> or</w:t>
            </w:r>
            <w:r w:rsidRPr="005B07E9" w:rsidDel="005B07E9">
              <w:rPr>
                <w:b/>
                <w:u w:val="single"/>
              </w:rPr>
              <w:t xml:space="preserve"> </w:t>
            </w:r>
            <w:r w:rsidRPr="00697E3C">
              <w:rPr>
                <w:b/>
                <w:u w:val="single"/>
              </w:rPr>
              <w:t>Completion Letter</w:t>
            </w:r>
            <w:r w:rsidRPr="006927DB">
              <w:t xml:space="preserve"> </w:t>
            </w:r>
            <w:r>
              <w:t xml:space="preserve"> </w:t>
            </w:r>
            <w:r w:rsidRPr="00697E3C">
              <w:t>Separate letters required from each activity performing SS, SOC, FBW-SCS SFCC work on shi</w:t>
            </w:r>
            <w:r>
              <w:t>p system.  For DDS installation or</w:t>
            </w:r>
            <w:r w:rsidRPr="00697E3C" w:rsidDel="005B07E9">
              <w:t xml:space="preserve"> </w:t>
            </w:r>
            <w:r w:rsidRPr="00697E3C">
              <w:t>removal (only), Ship</w:t>
            </w:r>
            <w:r>
              <w:t>’</w:t>
            </w:r>
            <w:r w:rsidRPr="00697E3C">
              <w:t>s Continuity Letter issued as USER and Sustaining Activity.</w:t>
            </w:r>
          </w:p>
        </w:tc>
      </w:tr>
      <w:tr w:rsidR="005E4EDB" w:rsidRPr="00697E3C" w:rsidTr="00A227C7">
        <w:tc>
          <w:tcPr>
            <w:tcW w:w="358" w:type="dxa"/>
            <w:shd w:val="clear" w:color="auto" w:fill="auto"/>
          </w:tcPr>
          <w:p w:rsidR="005E4EDB" w:rsidRPr="00697E3C" w:rsidRDefault="005E4EDB" w:rsidP="00A227C7"/>
        </w:tc>
        <w:tc>
          <w:tcPr>
            <w:tcW w:w="2517" w:type="dxa"/>
            <w:gridSpan w:val="2"/>
            <w:shd w:val="clear" w:color="auto" w:fill="auto"/>
          </w:tcPr>
          <w:p w:rsidR="005E4EDB" w:rsidRPr="00697E3C" w:rsidRDefault="005E4EDB" w:rsidP="00A227C7">
            <w:pPr>
              <w:spacing w:before="60" w:after="60"/>
              <w:rPr>
                <w:color w:val="548DD4"/>
              </w:rPr>
            </w:pPr>
            <w:r w:rsidRPr="00697E3C">
              <w:rPr>
                <w:color w:val="548DD4"/>
              </w:rPr>
              <w:t>Lead NSA CERT</w:t>
            </w:r>
            <w:r>
              <w:rPr>
                <w:color w:val="548DD4"/>
              </w:rPr>
              <w:t xml:space="preserve"> </w:t>
            </w:r>
            <w:r w:rsidRPr="00697E3C">
              <w:rPr>
                <w:color w:val="548DD4"/>
              </w:rPr>
              <w:t>(PHNSY/</w:t>
            </w:r>
            <w:r>
              <w:rPr>
                <w:color w:val="548DD4"/>
              </w:rPr>
              <w:t xml:space="preserve"> </w:t>
            </w:r>
            <w:r w:rsidRPr="00697E3C">
              <w:rPr>
                <w:color w:val="548DD4"/>
              </w:rPr>
              <w:t>PSNS/PNSY/NNSY)</w:t>
            </w:r>
          </w:p>
        </w:tc>
        <w:tc>
          <w:tcPr>
            <w:tcW w:w="351" w:type="dxa"/>
            <w:shd w:val="clear" w:color="auto" w:fill="auto"/>
          </w:tcPr>
          <w:p w:rsidR="005E4EDB" w:rsidRPr="00697E3C" w:rsidRDefault="005E4EDB" w:rsidP="00A227C7">
            <w:pPr>
              <w:spacing w:before="60" w:after="60"/>
              <w:rPr>
                <w:color w:val="548DD4"/>
              </w:rPr>
            </w:pPr>
          </w:p>
        </w:tc>
        <w:tc>
          <w:tcPr>
            <w:tcW w:w="1895" w:type="dxa"/>
            <w:gridSpan w:val="3"/>
            <w:shd w:val="clear" w:color="auto" w:fill="auto"/>
          </w:tcPr>
          <w:p w:rsidR="005E4EDB" w:rsidRPr="00697E3C" w:rsidRDefault="005E4EDB" w:rsidP="00A227C7">
            <w:pPr>
              <w:spacing w:before="60" w:after="60"/>
              <w:rPr>
                <w:color w:val="548DD4"/>
              </w:rPr>
            </w:pPr>
            <w:r w:rsidRPr="00697E3C">
              <w:rPr>
                <w:color w:val="548DD4"/>
              </w:rPr>
              <w:t>EB/SOSG (SS/FBW)</w:t>
            </w:r>
          </w:p>
        </w:tc>
        <w:tc>
          <w:tcPr>
            <w:tcW w:w="355" w:type="dxa"/>
            <w:shd w:val="clear" w:color="auto" w:fill="auto"/>
          </w:tcPr>
          <w:p w:rsidR="005E4EDB" w:rsidRPr="00697E3C" w:rsidRDefault="005E4EDB" w:rsidP="00A227C7">
            <w:pPr>
              <w:spacing w:before="60" w:after="60"/>
            </w:pPr>
          </w:p>
        </w:tc>
        <w:tc>
          <w:tcPr>
            <w:tcW w:w="1902" w:type="dxa"/>
            <w:gridSpan w:val="3"/>
            <w:shd w:val="clear" w:color="auto" w:fill="auto"/>
          </w:tcPr>
          <w:p w:rsidR="005E4EDB" w:rsidRPr="00697E3C" w:rsidRDefault="005E4EDB" w:rsidP="00A227C7">
            <w:pPr>
              <w:spacing w:before="60" w:after="60"/>
              <w:rPr>
                <w:color w:val="548DD4"/>
              </w:rPr>
            </w:pPr>
            <w:r w:rsidRPr="00697E3C">
              <w:rPr>
                <w:color w:val="548DD4"/>
              </w:rPr>
              <w:t>NGNN/SOSN (SS/FBW)</w:t>
            </w:r>
          </w:p>
        </w:tc>
        <w:tc>
          <w:tcPr>
            <w:tcW w:w="358" w:type="dxa"/>
            <w:gridSpan w:val="2"/>
            <w:shd w:val="clear" w:color="auto" w:fill="auto"/>
          </w:tcPr>
          <w:p w:rsidR="005E4EDB" w:rsidRPr="00697E3C" w:rsidRDefault="005E4EDB" w:rsidP="00A227C7">
            <w:pPr>
              <w:spacing w:before="60" w:after="60"/>
              <w:rPr>
                <w:color w:val="548DD4"/>
              </w:rPr>
            </w:pPr>
          </w:p>
        </w:tc>
        <w:tc>
          <w:tcPr>
            <w:tcW w:w="1932" w:type="dxa"/>
            <w:shd w:val="clear" w:color="auto" w:fill="auto"/>
          </w:tcPr>
          <w:p w:rsidR="005E4EDB" w:rsidRPr="00697E3C" w:rsidRDefault="005E4EDB" w:rsidP="00A227C7">
            <w:pPr>
              <w:spacing w:before="60" w:after="60"/>
              <w:rPr>
                <w:color w:val="548DD4"/>
              </w:rPr>
            </w:pPr>
            <w:r w:rsidRPr="00697E3C">
              <w:rPr>
                <w:color w:val="548DD4"/>
              </w:rPr>
              <w:t>OII/NSWCCD (SS/FBW)</w:t>
            </w:r>
          </w:p>
        </w:tc>
      </w:tr>
      <w:tr w:rsidR="005E4EDB" w:rsidRPr="00697E3C" w:rsidTr="00A227C7">
        <w:tc>
          <w:tcPr>
            <w:tcW w:w="358" w:type="dxa"/>
            <w:shd w:val="clear" w:color="auto" w:fill="auto"/>
          </w:tcPr>
          <w:p w:rsidR="005E4EDB" w:rsidRPr="00697E3C" w:rsidRDefault="005E4EDB" w:rsidP="00A227C7"/>
        </w:tc>
        <w:tc>
          <w:tcPr>
            <w:tcW w:w="2517" w:type="dxa"/>
            <w:gridSpan w:val="2"/>
            <w:shd w:val="clear" w:color="auto" w:fill="auto"/>
          </w:tcPr>
          <w:p w:rsidR="005E4EDB" w:rsidRPr="00697E3C" w:rsidRDefault="005E4EDB" w:rsidP="00A227C7">
            <w:pPr>
              <w:spacing w:before="60" w:after="60"/>
              <w:rPr>
                <w:color w:val="548DD4"/>
              </w:rPr>
            </w:pPr>
            <w:r w:rsidRPr="00697E3C">
              <w:rPr>
                <w:color w:val="548DD4"/>
              </w:rPr>
              <w:t xml:space="preserve">Lead FMA/RMC  </w:t>
            </w:r>
          </w:p>
        </w:tc>
        <w:tc>
          <w:tcPr>
            <w:tcW w:w="351" w:type="dxa"/>
            <w:shd w:val="clear" w:color="auto" w:fill="auto"/>
          </w:tcPr>
          <w:p w:rsidR="005E4EDB" w:rsidRPr="00697E3C" w:rsidRDefault="005E4EDB" w:rsidP="00A227C7">
            <w:pPr>
              <w:spacing w:before="60" w:after="60"/>
              <w:rPr>
                <w:color w:val="548DD4"/>
              </w:rPr>
            </w:pPr>
          </w:p>
        </w:tc>
        <w:tc>
          <w:tcPr>
            <w:tcW w:w="1895" w:type="dxa"/>
            <w:gridSpan w:val="3"/>
            <w:shd w:val="clear" w:color="auto" w:fill="auto"/>
          </w:tcPr>
          <w:p w:rsidR="005E4EDB" w:rsidRPr="00697E3C" w:rsidRDefault="005E4EDB" w:rsidP="00A227C7">
            <w:pPr>
              <w:spacing w:before="60" w:after="60"/>
              <w:rPr>
                <w:color w:val="548DD4"/>
              </w:rPr>
            </w:pPr>
            <w:r w:rsidRPr="00697E3C">
              <w:rPr>
                <w:color w:val="548DD4"/>
              </w:rPr>
              <w:t>EB/SOSG</w:t>
            </w:r>
            <w:r>
              <w:rPr>
                <w:color w:val="548DD4"/>
              </w:rPr>
              <w:br/>
            </w:r>
            <w:r w:rsidRPr="00697E3C">
              <w:rPr>
                <w:color w:val="548DD4"/>
              </w:rPr>
              <w:t>(SOC)</w:t>
            </w:r>
          </w:p>
        </w:tc>
        <w:tc>
          <w:tcPr>
            <w:tcW w:w="355" w:type="dxa"/>
            <w:shd w:val="clear" w:color="auto" w:fill="auto"/>
          </w:tcPr>
          <w:p w:rsidR="005E4EDB" w:rsidRPr="00697E3C" w:rsidRDefault="005E4EDB" w:rsidP="00A227C7">
            <w:pPr>
              <w:spacing w:before="60" w:after="60"/>
            </w:pPr>
          </w:p>
        </w:tc>
        <w:tc>
          <w:tcPr>
            <w:tcW w:w="1902" w:type="dxa"/>
            <w:gridSpan w:val="3"/>
            <w:shd w:val="clear" w:color="auto" w:fill="auto"/>
          </w:tcPr>
          <w:p w:rsidR="005E4EDB" w:rsidRPr="00697E3C" w:rsidRDefault="005E4EDB" w:rsidP="00A227C7">
            <w:pPr>
              <w:spacing w:before="60" w:after="60"/>
              <w:rPr>
                <w:color w:val="548DD4"/>
              </w:rPr>
            </w:pPr>
            <w:r w:rsidRPr="00697E3C">
              <w:rPr>
                <w:color w:val="548DD4"/>
              </w:rPr>
              <w:t>NGNN/SOSN (SOC)</w:t>
            </w:r>
          </w:p>
        </w:tc>
        <w:tc>
          <w:tcPr>
            <w:tcW w:w="358" w:type="dxa"/>
            <w:gridSpan w:val="2"/>
            <w:shd w:val="clear" w:color="auto" w:fill="auto"/>
          </w:tcPr>
          <w:p w:rsidR="005E4EDB" w:rsidRPr="00697E3C" w:rsidRDefault="005E4EDB" w:rsidP="00A227C7">
            <w:pPr>
              <w:spacing w:before="60" w:after="60"/>
              <w:rPr>
                <w:color w:val="548DD4"/>
              </w:rPr>
            </w:pPr>
          </w:p>
        </w:tc>
        <w:tc>
          <w:tcPr>
            <w:tcW w:w="1932" w:type="dxa"/>
            <w:shd w:val="clear" w:color="auto" w:fill="auto"/>
          </w:tcPr>
          <w:p w:rsidR="005E4EDB" w:rsidRPr="00697E3C" w:rsidRDefault="005E4EDB" w:rsidP="00A227C7">
            <w:pPr>
              <w:spacing w:before="60" w:after="60"/>
              <w:rPr>
                <w:color w:val="548DD4"/>
              </w:rPr>
            </w:pPr>
            <w:r w:rsidRPr="00697E3C">
              <w:rPr>
                <w:color w:val="548DD4"/>
              </w:rPr>
              <w:t>OII/NSWCCD (SOC)</w:t>
            </w:r>
          </w:p>
        </w:tc>
      </w:tr>
      <w:tr w:rsidR="005E4EDB" w:rsidRPr="00697E3C" w:rsidTr="00A227C7">
        <w:tc>
          <w:tcPr>
            <w:tcW w:w="358" w:type="dxa"/>
            <w:shd w:val="clear" w:color="auto" w:fill="auto"/>
          </w:tcPr>
          <w:p w:rsidR="005E4EDB" w:rsidRPr="00697E3C" w:rsidRDefault="005E4EDB" w:rsidP="00A227C7"/>
        </w:tc>
        <w:tc>
          <w:tcPr>
            <w:tcW w:w="2517" w:type="dxa"/>
            <w:gridSpan w:val="2"/>
            <w:shd w:val="clear" w:color="auto" w:fill="auto"/>
          </w:tcPr>
          <w:p w:rsidR="005E4EDB" w:rsidRPr="00697E3C" w:rsidRDefault="005E4EDB" w:rsidP="00A227C7">
            <w:pPr>
              <w:spacing w:before="60" w:after="60"/>
              <w:rPr>
                <w:color w:val="548DD4"/>
              </w:rPr>
            </w:pPr>
            <w:r w:rsidRPr="00697E3C">
              <w:rPr>
                <w:color w:val="548DD4"/>
              </w:rPr>
              <w:t>FMA/RMC</w:t>
            </w:r>
          </w:p>
        </w:tc>
        <w:tc>
          <w:tcPr>
            <w:tcW w:w="351" w:type="dxa"/>
            <w:shd w:val="clear" w:color="auto" w:fill="auto"/>
          </w:tcPr>
          <w:p w:rsidR="005E4EDB" w:rsidRPr="00697E3C" w:rsidRDefault="005E4EDB" w:rsidP="00A227C7">
            <w:pPr>
              <w:spacing w:before="60" w:after="60"/>
              <w:rPr>
                <w:color w:val="548DD4"/>
              </w:rPr>
            </w:pPr>
          </w:p>
        </w:tc>
        <w:tc>
          <w:tcPr>
            <w:tcW w:w="1895" w:type="dxa"/>
            <w:gridSpan w:val="3"/>
            <w:shd w:val="clear" w:color="auto" w:fill="auto"/>
          </w:tcPr>
          <w:p w:rsidR="005E4EDB" w:rsidRPr="00697E3C" w:rsidRDefault="005E4EDB" w:rsidP="00A227C7">
            <w:pPr>
              <w:spacing w:before="60" w:after="60"/>
              <w:rPr>
                <w:color w:val="548DD4"/>
              </w:rPr>
            </w:pPr>
          </w:p>
        </w:tc>
        <w:tc>
          <w:tcPr>
            <w:tcW w:w="355" w:type="dxa"/>
            <w:shd w:val="clear" w:color="auto" w:fill="auto"/>
          </w:tcPr>
          <w:p w:rsidR="005E4EDB" w:rsidRPr="00697E3C" w:rsidRDefault="005E4EDB" w:rsidP="00A227C7">
            <w:pPr>
              <w:spacing w:before="60" w:after="60"/>
            </w:pPr>
          </w:p>
        </w:tc>
        <w:tc>
          <w:tcPr>
            <w:tcW w:w="1902" w:type="dxa"/>
            <w:gridSpan w:val="3"/>
            <w:shd w:val="clear" w:color="auto" w:fill="auto"/>
          </w:tcPr>
          <w:p w:rsidR="005E4EDB" w:rsidRPr="00697E3C" w:rsidRDefault="005E4EDB" w:rsidP="00A227C7">
            <w:pPr>
              <w:spacing w:before="60" w:after="60"/>
            </w:pPr>
            <w:r w:rsidRPr="00697E3C">
              <w:t>Ship (SS</w:t>
            </w:r>
            <w:r>
              <w:t xml:space="preserve"> or</w:t>
            </w:r>
            <w:r w:rsidRPr="00697E3C" w:rsidDel="005B07E9">
              <w:t xml:space="preserve"> </w:t>
            </w:r>
            <w:r w:rsidRPr="00697E3C">
              <w:t xml:space="preserve">FBW) Continuity letter  </w:t>
            </w:r>
          </w:p>
        </w:tc>
        <w:tc>
          <w:tcPr>
            <w:tcW w:w="358" w:type="dxa"/>
            <w:gridSpan w:val="2"/>
            <w:shd w:val="clear" w:color="auto" w:fill="auto"/>
          </w:tcPr>
          <w:p w:rsidR="005E4EDB" w:rsidRPr="00697E3C" w:rsidRDefault="005E4EDB" w:rsidP="00A227C7">
            <w:pPr>
              <w:spacing w:before="60" w:after="60"/>
            </w:pPr>
          </w:p>
        </w:tc>
        <w:tc>
          <w:tcPr>
            <w:tcW w:w="1932" w:type="dxa"/>
            <w:shd w:val="clear" w:color="auto" w:fill="auto"/>
          </w:tcPr>
          <w:p w:rsidR="005E4EDB" w:rsidRPr="00697E3C" w:rsidRDefault="005E4EDB" w:rsidP="00A227C7">
            <w:pPr>
              <w:spacing w:before="60" w:after="60"/>
            </w:pPr>
            <w:r w:rsidRPr="00697E3C">
              <w:t>Ship (SOC) Continuity letter</w:t>
            </w:r>
          </w:p>
        </w:tc>
      </w:tr>
    </w:tbl>
    <w:p w:rsidR="005E4EDB" w:rsidRPr="00641FC5" w:rsidRDefault="005E4EDB" w:rsidP="005E4EDB">
      <w:pPr>
        <w:pStyle w:val="a"/>
        <w:rPr>
          <w:sz w:val="24"/>
          <w:szCs w:val="24"/>
        </w:rPr>
      </w:pPr>
      <w:r w:rsidRPr="00641FC5">
        <w:rPr>
          <w:color w:val="548DD4"/>
          <w:sz w:val="24"/>
          <w:szCs w:val="24"/>
        </w:rPr>
        <w:t>Blue text can be tailored to list the regional activities</w:t>
      </w:r>
      <w:r>
        <w:rPr>
          <w:color w:val="548DD4"/>
          <w:sz w:val="24"/>
          <w:szCs w:val="24"/>
        </w:rPr>
        <w:t>.</w:t>
      </w:r>
    </w:p>
    <w:p w:rsidR="00C30FB5" w:rsidRDefault="00C30FB5"/>
    <w:sectPr w:rsidR="00C30FB5" w:rsidSect="005E4EDB">
      <w:headerReference w:type="even" r:id="rId6"/>
      <w:footerReference w:type="even" r:id="rId7"/>
      <w:endnotePr>
        <w:numFmt w:val="decimal"/>
      </w:endnotePr>
      <w:pgSz w:w="12240" w:h="15840" w:code="1"/>
      <w:pgMar w:top="108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35" w:rsidRDefault="00D80635" w:rsidP="00397128">
      <w:pPr>
        <w:spacing w:before="0" w:after="0"/>
      </w:pPr>
      <w:r>
        <w:separator/>
      </w:r>
    </w:p>
  </w:endnote>
  <w:endnote w:type="continuationSeparator" w:id="0">
    <w:p w:rsidR="00D80635" w:rsidRDefault="00D80635" w:rsidP="003971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98" w:rsidRDefault="00D80635" w:rsidP="00FE7599">
    <w:pPr>
      <w:pStyle w:val="Footer"/>
      <w:spacing w:before="120" w:after="0"/>
      <w:rPr>
        <w:noProof/>
      </w:rPr>
    </w:pPr>
    <w:r>
      <w:t>V-I-1A-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Pr="00FE7599">
      <w:rPr>
        <w:noProof/>
      </w:rPr>
      <w:t xml:space="preserve"> </w:t>
    </w:r>
  </w:p>
  <w:p w:rsidR="00EE7398" w:rsidRDefault="00D80635" w:rsidP="00FE7599">
    <w:pPr>
      <w:pStyle w:val="Footer"/>
      <w:spacing w:before="0" w:after="120"/>
      <w:jc w:val="right"/>
    </w:pPr>
    <w:r>
      <w:rPr>
        <w:noProof/>
      </w:rPr>
      <w:t>APPENDIX 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35" w:rsidRDefault="00D80635" w:rsidP="00397128">
      <w:pPr>
        <w:spacing w:before="0" w:after="0"/>
      </w:pPr>
      <w:r>
        <w:separator/>
      </w:r>
    </w:p>
  </w:footnote>
  <w:footnote w:type="continuationSeparator" w:id="0">
    <w:p w:rsidR="00D80635" w:rsidRDefault="00D80635" w:rsidP="003971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98" w:rsidRDefault="00D80635" w:rsidP="00277D14">
    <w:pPr>
      <w:pStyle w:val="Headerleft"/>
      <w:rPr>
        <w:rFonts w:ascii="CG Times" w:hAnsi="CG Times"/>
      </w:rPr>
    </w:pPr>
    <w:r>
      <w:t>COMUSFLTFORCOMINST 4790.3 REV C CH-7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DB"/>
    <w:rsid w:val="000B11C4"/>
    <w:rsid w:val="001719A9"/>
    <w:rsid w:val="001920D3"/>
    <w:rsid w:val="001D2A39"/>
    <w:rsid w:val="0029402E"/>
    <w:rsid w:val="00397128"/>
    <w:rsid w:val="003D13D3"/>
    <w:rsid w:val="00426DF1"/>
    <w:rsid w:val="005E4EDB"/>
    <w:rsid w:val="006A0107"/>
    <w:rsid w:val="007310BB"/>
    <w:rsid w:val="007C54B0"/>
    <w:rsid w:val="00812483"/>
    <w:rsid w:val="008977A7"/>
    <w:rsid w:val="008C6412"/>
    <w:rsid w:val="00A90CB0"/>
    <w:rsid w:val="00BA7E46"/>
    <w:rsid w:val="00BD654D"/>
    <w:rsid w:val="00C30FB5"/>
    <w:rsid w:val="00C7572F"/>
    <w:rsid w:val="00D346B3"/>
    <w:rsid w:val="00D80635"/>
    <w:rsid w:val="00E55CE6"/>
    <w:rsid w:val="00EE1ADD"/>
    <w:rsid w:val="00F024C1"/>
    <w:rsid w:val="00F45172"/>
    <w:rsid w:val="00FA64C9"/>
    <w:rsid w:val="00FC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A3CFE-5E48-4BD1-AA11-F636864A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R"/>
    <w:qFormat/>
    <w:rsid w:val="005E4EDB"/>
    <w:pPr>
      <w:tabs>
        <w:tab w:val="left" w:pos="3168"/>
        <w:tab w:val="left" w:pos="3888"/>
        <w:tab w:val="left" w:pos="4608"/>
        <w:tab w:val="left" w:pos="5328"/>
        <w:tab w:val="left" w:pos="6048"/>
        <w:tab w:val="left" w:pos="6768"/>
        <w:tab w:val="left" w:pos="7488"/>
        <w:tab w:val="left" w:pos="8208"/>
        <w:tab w:val="left" w:pos="8928"/>
      </w:tabs>
      <w:suppressAutoHyphens/>
      <w:spacing w:before="120" w:after="12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Style">
    <w:name w:val="CR Style"/>
    <w:basedOn w:val="Normal"/>
    <w:link w:val="CRStyleChar"/>
    <w:qFormat/>
    <w:rsid w:val="00F45172"/>
    <w:pPr>
      <w:widowControl w:val="0"/>
      <w:tabs>
        <w:tab w:val="clear" w:pos="3168"/>
        <w:tab w:val="clear" w:pos="3888"/>
        <w:tab w:val="clear" w:pos="4608"/>
        <w:tab w:val="clear" w:pos="5328"/>
        <w:tab w:val="clear" w:pos="6048"/>
        <w:tab w:val="clear" w:pos="6768"/>
        <w:tab w:val="clear" w:pos="7488"/>
        <w:tab w:val="clear" w:pos="8208"/>
        <w:tab w:val="clear" w:pos="8928"/>
        <w:tab w:val="left" w:pos="90"/>
      </w:tabs>
      <w:suppressAutoHyphens w:val="0"/>
      <w:autoSpaceDE w:val="0"/>
      <w:autoSpaceDN w:val="0"/>
      <w:adjustRightInd w:val="0"/>
      <w:spacing w:after="0"/>
    </w:pPr>
    <w:rPr>
      <w:rFonts w:ascii="Arial" w:eastAsiaTheme="minorHAnsi" w:hAnsi="Arial" w:cs="Arial"/>
      <w:snapToGrid/>
      <w:color w:val="000000" w:themeColor="text1"/>
    </w:rPr>
  </w:style>
  <w:style w:type="character" w:customStyle="1" w:styleId="CRStyleChar">
    <w:name w:val="CR Style Char"/>
    <w:basedOn w:val="DefaultParagraphFont"/>
    <w:link w:val="CRStyle"/>
    <w:rsid w:val="00F45172"/>
    <w:rPr>
      <w:rFonts w:ascii="Arial" w:eastAsiaTheme="minorEastAsia" w:hAnsi="Arial" w:cs="Arial"/>
      <w:color w:val="000000" w:themeColor="text1"/>
      <w:sz w:val="20"/>
      <w:szCs w:val="20"/>
    </w:rPr>
  </w:style>
  <w:style w:type="paragraph" w:styleId="Footer">
    <w:name w:val="footer"/>
    <w:basedOn w:val="Normal"/>
    <w:link w:val="FooterChar"/>
    <w:rsid w:val="005E4EDB"/>
    <w:pPr>
      <w:tabs>
        <w:tab w:val="center" w:pos="4320"/>
        <w:tab w:val="right" w:pos="8640"/>
      </w:tabs>
      <w:spacing w:before="240" w:after="240"/>
      <w:jc w:val="center"/>
    </w:pPr>
  </w:style>
  <w:style w:type="character" w:customStyle="1" w:styleId="FooterChar">
    <w:name w:val="Footer Char"/>
    <w:basedOn w:val="DefaultParagraphFont"/>
    <w:link w:val="Footer"/>
    <w:rsid w:val="005E4EDB"/>
    <w:rPr>
      <w:rFonts w:ascii="Times New Roman" w:eastAsia="Times New Roman" w:hAnsi="Times New Roman" w:cs="Times New Roman"/>
      <w:snapToGrid w:val="0"/>
      <w:sz w:val="20"/>
      <w:szCs w:val="20"/>
    </w:rPr>
  </w:style>
  <w:style w:type="character" w:styleId="PageNumber">
    <w:name w:val="page number"/>
    <w:basedOn w:val="DefaultParagraphFont"/>
    <w:rsid w:val="005E4EDB"/>
  </w:style>
  <w:style w:type="paragraph" w:styleId="CommentText">
    <w:name w:val="annotation text"/>
    <w:basedOn w:val="Normal"/>
    <w:link w:val="CommentTextChar"/>
    <w:semiHidden/>
    <w:rsid w:val="005E4EDB"/>
    <w:pPr>
      <w:widowControl w:val="0"/>
    </w:pPr>
    <w:rPr>
      <w:rFonts w:ascii="Courier" w:hAnsi="Courier"/>
    </w:rPr>
  </w:style>
  <w:style w:type="character" w:customStyle="1" w:styleId="CommentTextChar">
    <w:name w:val="Comment Text Char"/>
    <w:basedOn w:val="DefaultParagraphFont"/>
    <w:link w:val="CommentText"/>
    <w:semiHidden/>
    <w:rsid w:val="005E4EDB"/>
    <w:rPr>
      <w:rFonts w:ascii="Courier" w:eastAsia="Times New Roman" w:hAnsi="Courier" w:cs="Times New Roman"/>
      <w:snapToGrid w:val="0"/>
      <w:sz w:val="20"/>
      <w:szCs w:val="20"/>
    </w:rPr>
  </w:style>
  <w:style w:type="paragraph" w:customStyle="1" w:styleId="a">
    <w:name w:val="a."/>
    <w:basedOn w:val="Normal"/>
    <w:rsid w:val="005E4EDB"/>
    <w:pPr>
      <w:tabs>
        <w:tab w:val="left" w:pos="-1440"/>
        <w:tab w:val="left" w:pos="-720"/>
        <w:tab w:val="left" w:pos="288"/>
        <w:tab w:val="left" w:pos="1008"/>
        <w:tab w:val="left" w:pos="1080"/>
        <w:tab w:val="left" w:pos="1728"/>
        <w:tab w:val="left" w:pos="2448"/>
      </w:tabs>
      <w:ind w:left="1008" w:hanging="1008"/>
    </w:pPr>
  </w:style>
  <w:style w:type="character" w:styleId="CommentReference">
    <w:name w:val="annotation reference"/>
    <w:basedOn w:val="DefaultParagraphFont"/>
    <w:semiHidden/>
    <w:rsid w:val="005E4EDB"/>
    <w:rPr>
      <w:vanish/>
      <w:sz w:val="16"/>
      <w:szCs w:val="16"/>
    </w:rPr>
  </w:style>
  <w:style w:type="paragraph" w:customStyle="1" w:styleId="Headerleft">
    <w:name w:val="Headerleft"/>
    <w:basedOn w:val="Header"/>
    <w:rsid w:val="005E4EDB"/>
    <w:pPr>
      <w:tabs>
        <w:tab w:val="clear" w:pos="4680"/>
        <w:tab w:val="clear" w:pos="9360"/>
        <w:tab w:val="left" w:pos="288"/>
        <w:tab w:val="left" w:pos="1008"/>
        <w:tab w:val="left" w:pos="1728"/>
        <w:tab w:val="left" w:pos="2448"/>
        <w:tab w:val="left" w:pos="3168"/>
        <w:tab w:val="left" w:pos="3888"/>
        <w:tab w:val="center" w:pos="4320"/>
        <w:tab w:val="left" w:pos="4608"/>
        <w:tab w:val="left" w:pos="5328"/>
        <w:tab w:val="left" w:pos="6048"/>
        <w:tab w:val="left" w:pos="6768"/>
        <w:tab w:val="left" w:pos="7488"/>
        <w:tab w:val="left" w:pos="8208"/>
        <w:tab w:val="right" w:pos="8640"/>
        <w:tab w:val="left" w:pos="8928"/>
      </w:tabs>
      <w:spacing w:after="240"/>
    </w:pPr>
  </w:style>
  <w:style w:type="paragraph" w:styleId="NormalWeb">
    <w:name w:val="Normal (Web)"/>
    <w:basedOn w:val="Normal"/>
    <w:uiPriority w:val="99"/>
    <w:rsid w:val="005E4EDB"/>
    <w:pPr>
      <w:spacing w:before="100" w:beforeAutospacing="1" w:after="100" w:afterAutospacing="1"/>
    </w:pPr>
  </w:style>
  <w:style w:type="character" w:styleId="Strong">
    <w:name w:val="Strong"/>
    <w:basedOn w:val="DefaultParagraphFont"/>
    <w:uiPriority w:val="22"/>
    <w:qFormat/>
    <w:rsid w:val="005E4EDB"/>
    <w:rPr>
      <w:b/>
      <w:bCs/>
    </w:rPr>
  </w:style>
  <w:style w:type="paragraph" w:styleId="Header">
    <w:name w:val="header"/>
    <w:basedOn w:val="Normal"/>
    <w:link w:val="HeaderChar"/>
    <w:uiPriority w:val="99"/>
    <w:unhideWhenUsed/>
    <w:rsid w:val="005E4EDB"/>
    <w:pPr>
      <w:tabs>
        <w:tab w:val="clear" w:pos="3168"/>
        <w:tab w:val="clear" w:pos="3888"/>
        <w:tab w:val="clear" w:pos="4608"/>
        <w:tab w:val="clear" w:pos="5328"/>
        <w:tab w:val="clear" w:pos="6048"/>
        <w:tab w:val="clear" w:pos="6768"/>
        <w:tab w:val="clear" w:pos="7488"/>
        <w:tab w:val="clear" w:pos="8208"/>
        <w:tab w:val="clear" w:pos="8928"/>
        <w:tab w:val="center" w:pos="4680"/>
        <w:tab w:val="right" w:pos="9360"/>
      </w:tabs>
      <w:spacing w:before="0" w:after="0"/>
    </w:pPr>
  </w:style>
  <w:style w:type="character" w:customStyle="1" w:styleId="HeaderChar">
    <w:name w:val="Header Char"/>
    <w:basedOn w:val="DefaultParagraphFont"/>
    <w:link w:val="Header"/>
    <w:uiPriority w:val="99"/>
    <w:rsid w:val="005E4EDB"/>
    <w:rPr>
      <w:rFonts w:ascii="Times New Roman" w:eastAsia="Times New Roman" w:hAnsi="Times New Roman" w:cs="Times New Roman"/>
      <w:snapToGrid w:val="0"/>
      <w:sz w:val="20"/>
      <w:szCs w:val="20"/>
    </w:rPr>
  </w:style>
  <w:style w:type="paragraph" w:styleId="Revision">
    <w:name w:val="Revision"/>
    <w:hidden/>
    <w:uiPriority w:val="99"/>
    <w:semiHidden/>
    <w:rsid w:val="005E4EDB"/>
    <w:pPr>
      <w:spacing w:after="0" w:line="240" w:lineRule="auto"/>
    </w:pPr>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5E4ED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EDB"/>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Morrissette, James J CTR (USA)</dc:creator>
  <cp:keywords/>
  <dc:description/>
  <cp:lastModifiedBy>Morrissette, James J CTR (USA)</cp:lastModifiedBy>
  <cp:revision>2</cp:revision>
  <dcterms:created xsi:type="dcterms:W3CDTF">2023-11-14T15:18:00Z</dcterms:created>
  <dcterms:modified xsi:type="dcterms:W3CDTF">2023-11-14T15:20:00Z</dcterms:modified>
</cp:coreProperties>
</file>